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2377440" cy="6982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98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6f9e"/>
          <w:sz w:val="32"/>
          <w:szCs w:val="32"/>
          <w:rtl w:val="0"/>
        </w:rPr>
        <w:t xml:space="preserve">Supervision Contract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This contract outlines the way of working between: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the supervisee's name.</w:t>
      </w:r>
      <w:r w:rsidDel="00000000" w:rsidR="00000000" w:rsidRPr="00000000">
        <w:rPr>
          <w:rFonts w:ascii="Arial" w:cs="Arial" w:eastAsia="Arial" w:hAnsi="Arial"/>
          <w:rtl w:val="0"/>
        </w:rPr>
        <w:t xml:space="preserve"> the supervisee and, Jayne Roberts the supervisor.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supervisor &amp; supervisee confirm they are members of a professional body, such as the BACP and adhere to their frame of work along with their best practice.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supervisee will inform the supervisor of any changes with this to ensure best practice and ethical framework.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supervisor and supervisee will have professional insurance, liability and indemnity to practice therapeutically.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Supervision sessions are intended as space for you, the supervisee, to reflect, explore and discuss all aspects of your caseload, in a safe and confident environment.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will work collaboratively, and I will give feedback formally and informally to promote best practice. Thus, promoting the safety and welfare of both yourself, the supervisee, and individuals within your caseload.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Sessions will be agreed as per your governing/professional body and organisation to ensure best practice.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Additional sessions can be agreed to, depending upon the supervisee's caseload and reasons.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Supervisees are welcome to attend any group session as an extra/addon to their regular supervision.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agree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f2f2f2" w:val="clear"/>
          <w:vertAlign w:val="baseline"/>
          <w:rtl w:val="0"/>
        </w:rPr>
        <w:t xml:space="preserve">Click here to enter frequency (e.g. once per month).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month 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f2f2f2" w:val="clear"/>
          <w:vertAlign w:val="baseline"/>
          <w:rtl w:val="0"/>
        </w:rPr>
        <w:t xml:space="preserve">Click here to enter the fee.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take notes post-session that are kept following data protection and GDPR.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meet with my supervisor each month to discuss my caseload, who also adheres to the BACP framework and maintains confidentiality.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either party is unhappy with any aspect of the supervisory relationship, the first instance is to discuss this together to find a resolution at a mutually agreeable time. However, should this not be possible appropriate channels will be followed, such as contacting the governing/professional body and or organisation.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is required at the beginning of the session or within 48 hours of the session.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full session fee will be payable if cancelled within 48 hours.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Should either party wish to utilise video call for sessions, then this can be arranged at a mutually convenient time.</w:t>
      </w:r>
    </w:p>
    <w:p w:rsidR="00000000" w:rsidDel="00000000" w:rsidP="00000000" w:rsidRDefault="00000000" w:rsidRPr="00000000" w14:paraId="00000014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Supervisee signed: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signature.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Date: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the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Supervisor signed: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signature.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Date: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the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Payment details: HSBC - ACCOUNT: 62737108. Sort Code: 40-47-26. Miss Jayne Roberts.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20" w:top="1020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Website - www.cloud9forlife.com</w:t>
      <w:br w:type="textWrapping"/>
      <w:t xml:space="preserve">Email - info@cloud9forlife.com</w:t>
      <w:br w:type="textWrapping"/>
      <w:t xml:space="preserve">Contact - 07925 - 540690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